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3D2C3" w14:textId="114D1511" w:rsidR="00600293" w:rsidRDefault="00600293" w:rsidP="00600293">
      <w:pPr>
        <w:spacing w:before="0" w:beforeAutospacing="0" w:after="0" w:afterAutospacing="0"/>
        <w:jc w:val="center"/>
        <w:rPr>
          <w:b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61983FC0" wp14:editId="3229DF2F">
            <wp:extent cx="6372225" cy="9001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C731D8" w14:textId="77777777" w:rsidR="00600293" w:rsidRDefault="00600293" w:rsidP="00CE1A3E">
      <w:pPr>
        <w:spacing w:before="0" w:beforeAutospacing="0" w:after="0" w:afterAutospacing="0"/>
        <w:jc w:val="center"/>
        <w:rPr>
          <w:b/>
          <w:lang w:val="ru-RU"/>
        </w:rPr>
      </w:pPr>
    </w:p>
    <w:p w14:paraId="5C992BBC" w14:textId="77777777" w:rsidR="00600293" w:rsidRDefault="00600293" w:rsidP="00CE1A3E">
      <w:pPr>
        <w:spacing w:before="0" w:beforeAutospacing="0" w:after="0" w:afterAutospacing="0"/>
        <w:jc w:val="center"/>
        <w:rPr>
          <w:b/>
          <w:lang w:val="ru-RU"/>
        </w:rPr>
      </w:pPr>
    </w:p>
    <w:p w14:paraId="5F661E4B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14:paraId="6BA51C1A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14:paraId="38341120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14:paraId="4081BFE2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Председатель управляющего совета согласовывает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14:paraId="4CAB10FA" w14:textId="386A5C3E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председател</w:t>
      </w:r>
      <w:r w:rsidR="008B5C44">
        <w:rPr>
          <w:rFonts w:hAnsi="Times New Roman" w:cs="Times New Roman"/>
          <w:color w:val="000000"/>
          <w:sz w:val="24"/>
          <w:szCs w:val="24"/>
          <w:lang w:val="ru-RU"/>
        </w:rPr>
        <w:t>ем экспертной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</w:t>
      </w:r>
      <w:r w:rsidR="008B5C4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14:paraId="59B7126C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5C44">
        <w:rPr>
          <w:rFonts w:hAnsi="Times New Roman" w:cs="Times New Roman"/>
          <w:color w:val="000000"/>
          <w:sz w:val="24"/>
          <w:szCs w:val="24"/>
          <w:lang w:val="ru-RU"/>
        </w:rPr>
        <w:t>Уведомление о</w:t>
      </w:r>
      <w:r w:rsidRPr="008B5C44">
        <w:rPr>
          <w:rFonts w:hAnsi="Times New Roman" w:cs="Times New Roman"/>
          <w:color w:val="000000"/>
          <w:sz w:val="24"/>
          <w:szCs w:val="24"/>
        </w:rPr>
        <w:t> </w:t>
      </w:r>
      <w:r w:rsidRPr="008B5C44">
        <w:rPr>
          <w:rFonts w:hAnsi="Times New Roman"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14:paraId="5F4A9DA3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8E5F57" w14:textId="77777777" w:rsidR="00B419D5" w:rsidRPr="00D46000" w:rsidRDefault="00153155" w:rsidP="00CE1A3E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указание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14:paraId="0CEC6061" w14:textId="77777777" w:rsidR="00B419D5" w:rsidRPr="00D46000" w:rsidRDefault="00153155" w:rsidP="00CE1A3E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14:paraId="633A1F8F" w14:textId="77777777" w:rsidR="00B419D5" w:rsidRDefault="00153155" w:rsidP="00CE1A3E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7D9A53D" w14:textId="77777777" w:rsidR="00B419D5" w:rsidRPr="00D46000" w:rsidRDefault="00153155" w:rsidP="00CE1A3E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14:paraId="03A4EB68" w14:textId="77777777" w:rsidR="00B419D5" w:rsidRPr="00D46000" w:rsidRDefault="00153155" w:rsidP="00CE1A3E">
      <w:pPr>
        <w:numPr>
          <w:ilvl w:val="0"/>
          <w:numId w:val="1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голосование, при наличии.</w:t>
      </w:r>
    </w:p>
    <w:p w14:paraId="68E7AAE1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14:paraId="1A935920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14:paraId="21CEDCDF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участию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17FC0BFD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отдельности.</w:t>
      </w:r>
    </w:p>
    <w:p w14:paraId="3B64AC7F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14:paraId="203A57D5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14:paraId="79485C18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2.10. Решение управляющего совета считается правомочным, если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14:paraId="0C2B0262" w14:textId="77777777" w:rsidR="008B5C44" w:rsidRDefault="008B5C44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01FD20" w14:textId="72E9BE00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14:paraId="2F58B0EF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14:paraId="78888169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14:paraId="27D98904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14:paraId="5F6A1945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585C76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14:paraId="4CDFE007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43A2391F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14:paraId="4176262A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14:paraId="6CA2F32B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пределах компетенции управляющего совета осуществляют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14:paraId="4257B7A0" w14:textId="77777777" w:rsidR="00B419D5" w:rsidRPr="00D46000" w:rsidRDefault="00153155" w:rsidP="00CE1A3E">
      <w:pPr>
        <w:numPr>
          <w:ilvl w:val="0"/>
          <w:numId w:val="2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14:paraId="3A2C4A78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14:paraId="5031B329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14:paraId="1DB3165F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состава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14:paraId="7A6DF241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вправе освободить председателя постоянной комиссии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14:paraId="66F3AD35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квартал. Председатель комиссии созывает 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D46000">
        <w:rPr>
          <w:lang w:val="ru-RU"/>
        </w:rPr>
        <w:br/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состав данной комиссии.</w:t>
      </w:r>
    </w:p>
    <w:p w14:paraId="2D48C55D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14:paraId="5BC844F8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3.8. Управляющий совет вправе для содействия организации своей работы образовывать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числа членов рабочие группы.</w:t>
      </w:r>
    </w:p>
    <w:p w14:paraId="2D0AC32C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3.9. Задачи, объем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14:paraId="10EE4A1A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14:paraId="18D171F9" w14:textId="77777777" w:rsidR="0015315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9D7621" w14:textId="46F75054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14:paraId="53C989AF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4.1. Председательствующим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14:paraId="75B3D32A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ходе заседаний.</w:t>
      </w:r>
    </w:p>
    <w:p w14:paraId="0EB8F53C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14:paraId="68A4C5C0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43577B" w14:textId="77777777" w:rsidR="00B419D5" w:rsidRPr="00D46000" w:rsidRDefault="00153155" w:rsidP="00CE1A3E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14:paraId="767FBF67" w14:textId="77777777" w:rsidR="00B419D5" w:rsidRPr="00D46000" w:rsidRDefault="00153155" w:rsidP="00CE1A3E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справками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заседание; </w:t>
      </w:r>
    </w:p>
    <w:p w14:paraId="1DDEDBB0" w14:textId="77777777" w:rsidR="00B419D5" w:rsidRPr="00D46000" w:rsidRDefault="00153155" w:rsidP="00CE1A3E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14:paraId="099EBFCA" w14:textId="77777777" w:rsidR="00B419D5" w:rsidRPr="00D46000" w:rsidRDefault="00153155" w:rsidP="00CE1A3E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порядку; </w:t>
      </w:r>
    </w:p>
    <w:p w14:paraId="2A305B7C" w14:textId="77777777" w:rsidR="00B419D5" w:rsidRPr="00D46000" w:rsidRDefault="00153155" w:rsidP="00CE1A3E">
      <w:pPr>
        <w:numPr>
          <w:ilvl w:val="0"/>
          <w:numId w:val="3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14:paraId="1C32793E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7620727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14:paraId="66B955E2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заседании;</w:t>
      </w:r>
    </w:p>
    <w:p w14:paraId="6F209C76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14:paraId="511F4125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14:paraId="37130009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14:paraId="6EF519B5" w14:textId="77777777" w:rsidR="00B419D5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BE816AF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14:paraId="21BB2100" w14:textId="77777777" w:rsidR="00B419D5" w:rsidRPr="00D46000" w:rsidRDefault="00153155" w:rsidP="00CE1A3E">
      <w:pPr>
        <w:numPr>
          <w:ilvl w:val="0"/>
          <w:numId w:val="4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принимать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14:paraId="22EDC648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Член управляющего совета вправе:</w:t>
      </w:r>
    </w:p>
    <w:p w14:paraId="16DC845C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избирать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рабочие группы; </w:t>
      </w:r>
    </w:p>
    <w:p w14:paraId="24CE8CD9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14:paraId="22FE28FD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проектам документов;</w:t>
      </w:r>
    </w:p>
    <w:p w14:paraId="0B7748AE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14:paraId="7A2BFBB9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голосование; </w:t>
      </w:r>
    </w:p>
    <w:p w14:paraId="0464D11C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требовать повторного голосования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14:paraId="2AB6DE0A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14:paraId="4470E852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14:paraId="3A8D5E97" w14:textId="77777777" w:rsidR="00B419D5" w:rsidRPr="00D46000" w:rsidRDefault="00153155" w:rsidP="00CE1A3E">
      <w:pPr>
        <w:numPr>
          <w:ilvl w:val="0"/>
          <w:numId w:val="5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настоящим регламентом.</w:t>
      </w:r>
    </w:p>
    <w:p w14:paraId="5C72A7A9" w14:textId="77777777" w:rsidR="00B419D5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96F24F" w14:textId="77777777" w:rsidR="00B419D5" w:rsidRPr="00D46000" w:rsidRDefault="00153155" w:rsidP="00CE1A3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7ADA9A76" w14:textId="77777777" w:rsidR="00B419D5" w:rsidRPr="00D46000" w:rsidRDefault="00153155" w:rsidP="00CE1A3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заседании; </w:t>
      </w:r>
    </w:p>
    <w:p w14:paraId="2F6491EF" w14:textId="77777777" w:rsidR="00B419D5" w:rsidRDefault="00153155" w:rsidP="00CE1A3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403F5B69" w14:textId="77777777" w:rsidR="00B419D5" w:rsidRPr="00D46000" w:rsidRDefault="00153155" w:rsidP="00CE1A3E">
      <w:pPr>
        <w:numPr>
          <w:ilvl w:val="0"/>
          <w:numId w:val="6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работе заседания.</w:t>
      </w:r>
    </w:p>
    <w:p w14:paraId="0C4E356F" w14:textId="77777777" w:rsidR="00BE6ECC" w:rsidRDefault="00BE6ECC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A29FF6" w14:textId="6F89960C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14:paraId="4EDF91E2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секретарем.</w:t>
      </w:r>
    </w:p>
    <w:p w14:paraId="71EC6C0E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14:paraId="15FA56F1" w14:textId="77777777" w:rsidR="00B419D5" w:rsidRPr="00D46000" w:rsidRDefault="00153155" w:rsidP="00CE1A3E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14:paraId="3FE606C9" w14:textId="77777777" w:rsidR="00B419D5" w:rsidRPr="00D46000" w:rsidRDefault="00153155" w:rsidP="00CE1A3E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14:paraId="769F1F70" w14:textId="77777777" w:rsidR="00B419D5" w:rsidRPr="00D46000" w:rsidRDefault="00153155" w:rsidP="00CE1A3E">
      <w:pPr>
        <w:numPr>
          <w:ilvl w:val="0"/>
          <w:numId w:val="7"/>
        </w:numPr>
        <w:spacing w:before="0" w:beforeAutospacing="0" w:after="0" w:afterAutospacing="0"/>
        <w:ind w:left="78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14:paraId="51860465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Нумерация протоколов управляющего совета ведется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14:paraId="1D638883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внесению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уточнений,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14:paraId="0E78B9B2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14:paraId="4878ACAB" w14:textId="77777777" w:rsidR="00B419D5" w:rsidRPr="00D46000" w:rsidRDefault="0015315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материалы,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000">
        <w:rPr>
          <w:rFonts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14:paraId="5884EF24" w14:textId="6D2AF0E0" w:rsidR="00B419D5" w:rsidRPr="00D46000" w:rsidRDefault="00B419D5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7A029" w14:textId="59781631" w:rsidR="00D46000" w:rsidRPr="00D46000" w:rsidRDefault="00D46000" w:rsidP="00CE1A3E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EC8CF6" w14:textId="6EE8A6AF" w:rsidR="00D46000" w:rsidRPr="00D46000" w:rsidRDefault="00D46000" w:rsidP="00CE1A3E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4F884C" w14:textId="7C2CCE35" w:rsidR="00D46000" w:rsidRPr="00D46000" w:rsidRDefault="00D46000" w:rsidP="00CE1A3E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EFB82B" w14:textId="50793FA2" w:rsidR="00D46000" w:rsidRPr="00D46000" w:rsidRDefault="00D46000" w:rsidP="00CE1A3E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8B06E9" w14:textId="2E95096A" w:rsidR="00D46000" w:rsidRPr="00D46000" w:rsidRDefault="00D46000" w:rsidP="00CE1A3E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96E926" w14:textId="067B0EC8" w:rsidR="00D46000" w:rsidRPr="00D46000" w:rsidRDefault="00D460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F2B612" w14:textId="77777777" w:rsidR="00D46000" w:rsidRPr="00D46000" w:rsidRDefault="00D460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6000" w:rsidRPr="00D4600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5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33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85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91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43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E2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51707"/>
    <w:rsid w:val="00153155"/>
    <w:rsid w:val="002D33B1"/>
    <w:rsid w:val="002D3591"/>
    <w:rsid w:val="003514A0"/>
    <w:rsid w:val="004F7E17"/>
    <w:rsid w:val="005A05CE"/>
    <w:rsid w:val="00600293"/>
    <w:rsid w:val="00653AF6"/>
    <w:rsid w:val="0069721C"/>
    <w:rsid w:val="008B5C44"/>
    <w:rsid w:val="00B419D5"/>
    <w:rsid w:val="00B73A5A"/>
    <w:rsid w:val="00BE6ECC"/>
    <w:rsid w:val="00CE1A3E"/>
    <w:rsid w:val="00D460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A4F9"/>
  <w15:docId w15:val="{5A91EABA-96AD-45A7-B567-1E233740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ММ</dc:creator>
  <dc:description>Подготовлено экспертами Актион-МЦФЭР</dc:description>
  <cp:lastModifiedBy>Афанасьева ММ</cp:lastModifiedBy>
  <cp:revision>2</cp:revision>
  <cp:lastPrinted>2023-05-18T06:19:00Z</cp:lastPrinted>
  <dcterms:created xsi:type="dcterms:W3CDTF">2023-05-25T07:34:00Z</dcterms:created>
  <dcterms:modified xsi:type="dcterms:W3CDTF">2023-05-25T07:34:00Z</dcterms:modified>
</cp:coreProperties>
</file>